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9ac74db0ded049a9"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27394</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OPĆINA KAMANJE</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22</w:t>
            </w:r>
          </w:p>
        </w:tc>
      </w:tr>
    </w:tbl>
    <w:p>
      <w:r>
        <w:br/>
      </w:r>
    </w:p>
    <w:p>
      <w:pPr>
        <w:jc w:val="center"/>
        <w:pStyle w:val="Normal"/>
        <w:spacing w:line="240" w:lineRule="auto"/>
      </w:pPr>
      <w:r>
        <w:rPr>
          <w:b/>
          <w:sz w:val="28"/>
          <w:rFonts w:ascii="Times New Roman" w:hAnsi="Times New Roman"/>
        </w:rPr>
        <w:t>BILJEŠKE UZ FINANCIJSKE IZVJEŠTAJE</w:t>
      </w:r>
    </w:p>
    <w:p>
      <w:pPr>
        <w:jc w:val="center"/>
        <w:pStyle w:val="Normal"/>
        <w:spacing w:line="240" w:lineRule="auto"/>
      </w:pPr>
      <w:r>
        <w:rPr>
          <w:b/>
          <w:sz w:val="28"/>
          <w:rFonts w:ascii="Times New Roman" w:hAnsi="Times New Roman"/>
        </w:rPr>
        <w:t>ZA RAZDOBLJE</w:t>
      </w:r>
    </w:p>
    <w:p>
      <w:pPr>
        <w:jc w:val="center"/>
        <w:pStyle w:val="Normal"/>
        <w:spacing w:line="240" w:lineRule="auto"/>
      </w:pPr>
      <w:r>
        <w:rPr>
          <w:b/>
          <w:sz w:val="28"/>
          <w:rFonts w:ascii="Times New Roman" w:hAnsi="Times New Roman"/>
        </w:rPr>
        <w:t>I - IX 2025.</w:t>
      </w:r>
    </w:p>
    <w:p/>
    <w:p>
      <w:pPr>
        <w:jc w:val="center"/>
        <w:pStyle w:val="Normal"/>
        <w:spacing w:line="240" w:lineRule="auto"/>
        <w:keepNext/>
      </w:pPr>
      <w:r>
        <w:rPr>
          <w:b/>
          <w:sz w:val="28"/>
          <w:rFonts w:ascii="Times New Roman" w:hAnsi="Times New Roman"/>
        </w:rPr>
        <w:t>Izvještaj o prihodima i rashodima, primicima i izdacima</w:t>
      </w:r>
    </w:p>
    <w:p>
      <w:pPr>
        <w:jc w:val="center"/>
        <w:pStyle w:val="Normal"/>
        <w:spacing w:line="240" w:lineRule="auto"/>
        <w:keepNext/>
      </w:pPr>
      <w:r>
        <w:rPr>
          <w:sz w:val="28"/>
          <w:rFonts w:ascii="Times New Roman" w:hAnsi="Times New Roman"/>
        </w:rPr>
        <w:t>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429.146,40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439.772,44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102,5</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293.623,29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361.244,41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123,0</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POSLOVANJA (šifre 6-Z005)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135.523,11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78.528,03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57,9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6.328,03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32.342,50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511,1</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OD NEFINANCIJSKE IMOVINE (šifre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6.328,03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32.182,50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508,6</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100.000,00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31.471,70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110.375,00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350,7</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PRIMITAKA OD FINANCIJSKE IMOVINE I ZADUŽIVANJA (šifre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31.471,70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10.375,00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33,0</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I PRIMITAKA (šifre X678-Y345)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97.723,38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35.970,53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36,8</w:t>
            </w:r>
          </w:p>
        </w:tc>
      </w:tr>
    </w:tbl>
    <w:p>
      <w:pPr>
        <w:spacing w:before="0" w:after="0"/>
      </w:pPr>
    </w:p>
    <w:p>
      <w:pPr>
        <w:jc w:val="both"/>
        <w:pStyle w:val="Normal"/>
        <w:spacing w:line="240" w:lineRule="auto"/>
      </w:pPr>
      <w:r>
        <w:rPr>
          <w:sz w:val="24"/>
          <w:rFonts w:ascii="Times New Roman" w:hAnsi="Times New Roman"/>
        </w:rPr>
        <w:t>U obrascu PR-RAS iskazani su podaci o prihodima i rashodima proračunske jedinice u promatranom razdoblju. Ukupni prihodi poslovanja iznose 439.772,44 kn, dok su ukupni rashodi poslovanja 361.244,41 kn, što rezultira viškom prihoda poslovanja u iznosu od 78.528,03 kn.
Prihodi od prodaje nefinancijske imovine iznose 160,00 kn, dok su rashodi za nabavu nefinancijske imovine 32.342,50 kn, što dovodi do manjka od 32.182,50 kn u toj kategoriji.
Kod financijske imovine i zaduživanja, primici iznose 100.000,00 kn, a izdaci za financijsku imovinu i otplate zajmova 110.375,00 kn, što rezultira manjkom od 10.375,00 kn.
Nakon uračunavanja svih kategorija, ukupni višak prihoda i primitaka iznosi 35.970,53 kn, što pokazuje da je proračunska jedinica u promatranom razdoblju ostvarila pozitivan saldo sredstava unatoč manjku u dijelu imovinskih i financijskih aktivnosti</w:t>
      </w:r>
    </w:p>
    <w:p>
      <w:r>
        <w:br/>
      </w:r>
    </w:p>
    <w:p>
      <w:pPr>
        <w:jc w:val="center"/>
        <w:pStyle w:val="Normal"/>
        <w:spacing w:line="240" w:lineRule="auto"/>
        <w:keepNext/>
      </w:pPr>
      <w:r>
        <w:rPr>
          <w:sz w:val="28"/>
          <w:rFonts w:ascii="Times New Roman" w:hAnsi="Times New Roman"/>
        </w:rPr>
        <w:t>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Porez na dohodak od nesamostalnog rada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227.247,14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255.035,69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112,2</w:t>
            </w:r>
          </w:p>
        </w:tc>
      </w:tr>
    </w:tbl>
    <w:p>
      <w:pPr>
        <w:spacing w:before="0" w:after="0"/>
      </w:pPr>
    </w:p>
    <w:p>
      <w:pPr>
        <w:jc w:val="both"/>
        <w:pStyle w:val="Normal"/>
        <w:spacing w:line="240" w:lineRule="auto"/>
      </w:pPr>
      <w:r>
        <w:rPr>
          <w:sz w:val="24"/>
          <w:rFonts w:ascii="Times New Roman" w:hAnsi="Times New Roman"/>
        </w:rPr>
        <w:t>Povećanje prihoda od poreza na dohodak od nesamostalnog rada rezultat je rasta prosječnih plaća i povećanja zaposlenosti na području općine, kao i usklađivanja plaća s inflacijom. Dodatno, na rast prihoda utjecalo je poboljšana naplata poreznih prihoda od strane nadležnih tijela.</w:t>
      </w:r>
    </w:p>
    <w:p/>
    <w:p>
      <w:pPr>
        <w:jc w:val="center"/>
        <w:pStyle w:val="Normal"/>
        <w:spacing w:line="240" w:lineRule="auto"/>
        <w:keepNext/>
      </w:pPr>
      <w:r>
        <w:rPr>
          <w:sz w:val="28"/>
          <w:rFonts w:ascii="Times New Roman" w:hAnsi="Times New Roman"/>
        </w:rPr>
        <w:t>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Porez na dohodak od samostalnih djelatnosti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32.846,35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18.153,88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55,3</w:t>
            </w:r>
          </w:p>
        </w:tc>
      </w:tr>
    </w:tbl>
    <w:p>
      <w:pPr>
        <w:spacing w:before="0" w:after="0"/>
      </w:pPr>
    </w:p>
    <w:p>
      <w:pPr>
        <w:jc w:val="both"/>
        <w:pStyle w:val="Normal"/>
        <w:spacing w:line="240" w:lineRule="auto"/>
      </w:pPr>
      <w:r>
        <w:rPr>
          <w:sz w:val="24"/>
          <w:rFonts w:ascii="Times New Roman" w:hAnsi="Times New Roman"/>
        </w:rPr>
        <w:t>Smanjenje prihoda od poreza na dohodak od samostalnih djelatnosti rezultat je smanjenog broja aktivnih obveznika i pada poslovnih prihoda obrtnika i drugih samostalnih djelatnosti. Na navedeno su dodatno utjecali povećani troškovi poslovanja, kao i prelazak dijela obveznika na paušalno oporezivanje ili u sustav poreza na dobit, što je smanjilo osnovicu i ukupnu uplatu poreza u ovoj kategoriji.</w:t>
      </w:r>
    </w:p>
    <w:p/>
    <w:p>
      <w:pPr>
        <w:jc w:val="center"/>
        <w:pStyle w:val="Normal"/>
        <w:spacing w:line="240" w:lineRule="auto"/>
        <w:keepNext/>
      </w:pPr>
      <w:r>
        <w:rPr>
          <w:sz w:val="28"/>
          <w:rFonts w:ascii="Times New Roman" w:hAnsi="Times New Roman"/>
        </w:rPr>
        <w:t>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Porez na dohodak od imovine i imovinskih prava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8.634,18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4.872,29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56,4</w:t>
            </w:r>
          </w:p>
        </w:tc>
      </w:tr>
    </w:tbl>
    <w:p>
      <w:pPr>
        <w:spacing w:before="0" w:after="0"/>
      </w:pPr>
    </w:p>
    <w:p>
      <w:pPr>
        <w:jc w:val="both"/>
        <w:pStyle w:val="Normal"/>
        <w:spacing w:line="240" w:lineRule="auto"/>
      </w:pPr>
      <w:r>
        <w:rPr>
          <w:sz w:val="24"/>
          <w:rFonts w:ascii="Times New Roman" w:hAnsi="Times New Roman"/>
        </w:rPr>
        <w:t>Smanjenje prihoda od poreza na dohodak od imovine i imovinskih prava rezultat je manjeg broja ostvarenih najamnina i kupoprodaja nekretnina te smanjene tržišne aktivnosti u prometu imovine.</w:t>
      </w:r>
    </w:p>
    <w:p/>
    <w:p>
      <w:pPr>
        <w:jc w:val="center"/>
        <w:pStyle w:val="Normal"/>
        <w:spacing w:line="240" w:lineRule="auto"/>
        <w:keepNext/>
      </w:pPr>
      <w:r>
        <w:rPr>
          <w:sz w:val="28"/>
          <w:rFonts w:ascii="Times New Roman" w:hAnsi="Times New Roman"/>
        </w:rPr>
        <w:t>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Porez na dohodak od kapitala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38.570,25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65.451,56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169,7</w:t>
            </w:r>
          </w:p>
        </w:tc>
      </w:tr>
    </w:tbl>
    <w:p>
      <w:pPr>
        <w:spacing w:before="0" w:after="0"/>
      </w:pPr>
    </w:p>
    <w:p>
      <w:pPr>
        <w:jc w:val="both"/>
        <w:pStyle w:val="Normal"/>
        <w:spacing w:line="240" w:lineRule="auto"/>
      </w:pPr>
      <w:r>
        <w:rPr>
          <w:sz w:val="24"/>
          <w:rFonts w:ascii="Times New Roman" w:hAnsi="Times New Roman"/>
        </w:rPr>
        <w:t>Povećanje prihoda od poreza na dohodak od kapitala za 69% rezultat je većih isplata dividendi i kamata te povoljnijih kretanja na financijskim tržištima.</w:t>
      </w:r>
    </w:p>
    <w:p/>
    <w:p>
      <w:pPr>
        <w:jc w:val="center"/>
        <w:pStyle w:val="Normal"/>
        <w:spacing w:line="240" w:lineRule="auto"/>
        <w:keepNext/>
      </w:pPr>
      <w:r>
        <w:rPr>
          <w:sz w:val="28"/>
          <w:rFonts w:ascii="Times New Roman" w:hAnsi="Times New Roman"/>
        </w:rPr>
        <w:t>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Porez na dohodak po godišnjoj prijavi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20.489,81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9.356,67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45,7</w:t>
            </w:r>
          </w:p>
        </w:tc>
      </w:tr>
    </w:tbl>
    <w:p>
      <w:pPr>
        <w:spacing w:before="0" w:after="0"/>
      </w:pPr>
    </w:p>
    <w:p>
      <w:pPr>
        <w:jc w:val="both"/>
        <w:pStyle w:val="Normal"/>
        <w:spacing w:line="240" w:lineRule="auto"/>
      </w:pPr>
      <w:r>
        <w:rPr>
          <w:sz w:val="24"/>
          <w:rFonts w:ascii="Times New Roman" w:hAnsi="Times New Roman"/>
        </w:rPr>
        <w:t>Smanjenje poreza na dohodak po godišnjoj prijavi za cca 55 % u odnosu na isto razdoblje prošle godine posljedica je nižeg oporezivog dohotka, manjih primitaka od samostalnih djelatnosti ili povoljnijih poreznih olakšica u promatranom razdoblju.</w:t>
      </w:r>
    </w:p>
    <w:p/>
    <w:p>
      <w:pPr>
        <w:jc w:val="center"/>
        <w:pStyle w:val="Normal"/>
        <w:spacing w:line="240" w:lineRule="auto"/>
        <w:keepNext/>
      </w:pPr>
      <w:r>
        <w:rPr>
          <w:sz w:val="28"/>
          <w:rFonts w:ascii="Times New Roman" w:hAnsi="Times New Roman"/>
        </w:rPr>
        <w:t>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Povrat poreza na dohodak po godišnjoj prijavi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6117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48.412,39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65.344,28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135,0</w:t>
            </w:r>
          </w:p>
        </w:tc>
      </w:tr>
    </w:tbl>
    <w:p>
      <w:pPr>
        <w:spacing w:before="0" w:after="0"/>
      </w:pPr>
    </w:p>
    <w:p>
      <w:pPr>
        <w:jc w:val="both"/>
        <w:pStyle w:val="Normal"/>
        <w:spacing w:line="240" w:lineRule="auto"/>
      </w:pPr>
      <w:r>
        <w:rPr>
          <w:sz w:val="24"/>
          <w:rFonts w:ascii="Times New Roman" w:hAnsi="Times New Roman"/>
        </w:rPr>
        <w:t>Povećanje povrata poreza na dohodak za 35 % u odnosu na isto razdoblje prošle godine posljedica je većeg broja ili iznosa prijavljenih poreznih olakšica i povrata preplaćenog poreza.</w:t>
      </w:r>
    </w:p>
    <w:p/>
    <w:p>
      <w:pPr>
        <w:jc w:val="center"/>
        <w:pStyle w:val="Normal"/>
        <w:spacing w:line="240" w:lineRule="auto"/>
        <w:keepNext/>
      </w:pPr>
      <w:r>
        <w:rPr>
          <w:sz w:val="28"/>
          <w:rFonts w:ascii="Times New Roman" w:hAnsi="Times New Roman"/>
        </w:rPr>
        <w:t>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Stalni porezi na nepokretnu imovinu (zemlju, zgrade, kuće i ostalo)</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10.436,66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332,34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w:t>
            </w:r>
          </w:p>
        </w:tc>
      </w:tr>
    </w:tbl>
    <w:p>
      <w:pPr>
        <w:spacing w:before="0" w:after="0"/>
      </w:pPr>
    </w:p>
    <w:p>
      <w:pPr>
        <w:jc w:val="both"/>
        <w:pStyle w:val="Normal"/>
        <w:spacing w:line="240" w:lineRule="auto"/>
      </w:pPr>
      <w:r>
        <w:rPr>
          <w:sz w:val="24"/>
          <w:rFonts w:ascii="Times New Roman" w:hAnsi="Times New Roman"/>
        </w:rPr>
        <w:t>Smanjenje stalnih poreza na nepokretnu imovinu u odnosu na isto razdoblje prošle godine posljedica je što u promatranom razdoblju nisu izdana nova rješenja za porez na nekretnine.</w:t>
      </w:r>
    </w:p>
    <w:p/>
    <w:p>
      <w:pPr>
        <w:jc w:val="center"/>
        <w:pStyle w:val="Normal"/>
        <w:spacing w:line="240" w:lineRule="auto"/>
        <w:keepNext/>
      </w:pPr>
      <w:r>
        <w:rPr>
          <w:sz w:val="28"/>
          <w:rFonts w:ascii="Times New Roman" w:hAnsi="Times New Roman"/>
        </w:rPr>
        <w:t>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6134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Povremeni porezi na imovinu</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6134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5.333,76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1.535,71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28,8</w:t>
            </w:r>
          </w:p>
        </w:tc>
      </w:tr>
    </w:tbl>
    <w:p>
      <w:pPr>
        <w:spacing w:before="0" w:after="0"/>
      </w:pPr>
    </w:p>
    <w:p>
      <w:pPr>
        <w:jc w:val="both"/>
        <w:pStyle w:val="Normal"/>
        <w:spacing w:line="240" w:lineRule="auto"/>
      </w:pPr>
      <w:r>
        <w:rPr>
          <w:sz w:val="24"/>
          <w:rFonts w:ascii="Times New Roman" w:hAnsi="Times New Roman"/>
        </w:rPr>
        <w:t>U promatranom razdoblju u odnosu na isto razdoblje prethodne godine ostvaren je znatno manji povremeni porez na imovinu što je rezultat manje kupoprodaje nekretnina na području Općine Kamanje.</w:t>
      </w:r>
    </w:p>
    <w:p/>
    <w:p>
      <w:pPr>
        <w:jc w:val="center"/>
        <w:pStyle w:val="Normal"/>
        <w:spacing w:line="240" w:lineRule="auto"/>
        <w:keepNext/>
      </w:pPr>
      <w:r>
        <w:rPr>
          <w:sz w:val="28"/>
          <w:rFonts w:ascii="Times New Roman" w:hAnsi="Times New Roman"/>
        </w:rPr>
        <w:t>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proračunu i izvanproračunskim korisnicima iz drugih proračuna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82.698,47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3.651,00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4,4</w:t>
            </w:r>
          </w:p>
        </w:tc>
      </w:tr>
    </w:tbl>
    <w:p>
      <w:pPr>
        <w:spacing w:before="0" w:after="0"/>
      </w:pPr>
    </w:p>
    <w:p>
      <w:pPr>
        <w:jc w:val="both"/>
        <w:pStyle w:val="Normal"/>
        <w:spacing w:line="240" w:lineRule="auto"/>
      </w:pPr>
      <w:r>
        <w:rPr>
          <w:sz w:val="24"/>
          <w:rFonts w:ascii="Times New Roman" w:hAnsi="Times New Roman"/>
        </w:rPr>
        <w:t>znatno smanjenje tekućih pomoći proračunu i izvanproračunskim korisnicima rezultat je izmjena u pravilniku o proračunskom računovodstvu, odnosno sredstva fiskalnog izravnanja koja su prethodne godine iskazivana na računu 6331, ove godine iskazana su na računu 6353</w:t>
      </w:r>
    </w:p>
    <w:p/>
    <w:p>
      <w:pPr>
        <w:jc w:val="center"/>
        <w:pStyle w:val="Normal"/>
        <w:spacing w:line="240" w:lineRule="auto"/>
        <w:keepNext/>
      </w:pPr>
      <w:r>
        <w:rPr>
          <w:sz w:val="28"/>
          <w:rFonts w:ascii="Times New Roman" w:hAnsi="Times New Roman"/>
        </w:rPr>
        <w:t>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6341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od izvanproračunskih korisnika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6341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5.991,60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7.020,30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117,2</w:t>
            </w:r>
          </w:p>
        </w:tc>
      </w:tr>
    </w:tbl>
    <w:p>
      <w:pPr>
        <w:spacing w:before="0" w:after="0"/>
      </w:pPr>
    </w:p>
    <w:p>
      <w:pPr>
        <w:jc w:val="both"/>
        <w:pStyle w:val="Normal"/>
        <w:spacing w:line="240" w:lineRule="auto"/>
      </w:pPr>
      <w:r>
        <w:rPr>
          <w:sz w:val="24"/>
          <w:rFonts w:ascii="Times New Roman" w:hAnsi="Times New Roman"/>
        </w:rPr>
        <w:t>Povećanje tekućih pomoći od izvanproračunskih korisnika odnosi se na pomoći Hrvatskog zavoda za zapošljavanje za financiranje programa javnih radova. Povećanje tekućih pomoći rezultat je povećanja minimalne plaće zaposlene po programu javnih radova.</w:t>
      </w:r>
    </w:p>
    <w:p/>
    <w:p>
      <w:pPr>
        <w:jc w:val="center"/>
        <w:pStyle w:val="Normal"/>
        <w:spacing w:line="240" w:lineRule="auto"/>
        <w:keepNext/>
      </w:pPr>
      <w:r>
        <w:rPr>
          <w:sz w:val="28"/>
          <w:rFonts w:ascii="Times New Roman" w:hAnsi="Times New Roman"/>
        </w:rPr>
        <w:t>Bilješka 12.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6353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fiskalnog izravnanja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103.120,51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2025. godini uveden je račun Pomoći fiskalnog izravnanja dok su u prethodnoj godini pomoći bile evidentirane na računu 633.</w:t>
      </w:r>
    </w:p>
    <w:p/>
    <w:p>
      <w:pPr>
        <w:jc w:val="center"/>
        <w:pStyle w:val="Normal"/>
        <w:spacing w:line="240" w:lineRule="auto"/>
        <w:keepNext/>
      </w:pPr>
      <w:r>
        <w:rPr>
          <w:sz w:val="28"/>
          <w:rFonts w:ascii="Times New Roman" w:hAnsi="Times New Roman"/>
        </w:rPr>
        <w:t>Bilješka 13.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zakupa i iznajmljivanja imovine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2.036,00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913,50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44,9</w:t>
            </w:r>
          </w:p>
        </w:tc>
      </w:tr>
    </w:tbl>
    <w:p>
      <w:pPr>
        <w:spacing w:before="0" w:after="0"/>
      </w:pPr>
    </w:p>
    <w:p>
      <w:pPr>
        <w:jc w:val="both"/>
        <w:pStyle w:val="Normal"/>
        <w:spacing w:line="240" w:lineRule="auto"/>
      </w:pPr>
      <w:r>
        <w:rPr>
          <w:sz w:val="24"/>
          <w:rFonts w:ascii="Times New Roman" w:hAnsi="Times New Roman"/>
        </w:rPr>
        <w:t>Općina je u prvoj polovici ove godine, a u odnosu na isto razdoblje prethodne godine naplatila 65% manje prihoda od najma poslovnih prostora  iz razloga neizvršavanja redovitih obveza zakupoprimaca.</w:t>
      </w:r>
    </w:p>
    <w:p/>
    <w:p>
      <w:pPr>
        <w:jc w:val="center"/>
        <w:pStyle w:val="Normal"/>
        <w:spacing w:line="240" w:lineRule="auto"/>
        <w:keepNext/>
      </w:pPr>
      <w:r>
        <w:rPr>
          <w:sz w:val="28"/>
          <w:rFonts w:ascii="Times New Roman" w:hAnsi="Times New Roman"/>
        </w:rPr>
        <w:t>Bilješka 14.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Naknada za korištenje nefinancijske imovine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663,63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564,73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85,1</w:t>
            </w:r>
          </w:p>
        </w:tc>
      </w:tr>
    </w:tbl>
    <w:p>
      <w:pPr>
        <w:spacing w:before="0" w:after="0"/>
      </w:pPr>
    </w:p>
    <w:p>
      <w:pPr>
        <w:jc w:val="both"/>
        <w:pStyle w:val="Normal"/>
        <w:spacing w:line="240" w:lineRule="auto"/>
      </w:pPr>
      <w:r>
        <w:rPr>
          <w:sz w:val="24"/>
          <w:rFonts w:ascii="Times New Roman" w:hAnsi="Times New Roman"/>
        </w:rPr>
        <w:t>U prvoj istom prethodne godine ostvareni su prihodi od naknade za korištenje mrtvačnice na mjesnom groblju dok u istom razdoblju ove godine ti prihodi nisu ostvarivani stoga su i prihodi od naknade za korištenje nefinancijske imovine niži.</w:t>
      </w:r>
    </w:p>
    <w:p/>
    <w:p>
      <w:pPr>
        <w:jc w:val="center"/>
        <w:pStyle w:val="Normal"/>
        <w:spacing w:line="240" w:lineRule="auto"/>
        <w:keepNext/>
      </w:pPr>
      <w:r>
        <w:rPr>
          <w:sz w:val="28"/>
          <w:rFonts w:ascii="Times New Roman" w:hAnsi="Times New Roman"/>
        </w:rPr>
        <w:t>Bilješka 15.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za ceste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6424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173,13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79,63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46,0</w:t>
            </w:r>
          </w:p>
        </w:tc>
      </w:tr>
    </w:tbl>
    <w:p>
      <w:pPr>
        <w:spacing w:before="0" w:after="0"/>
      </w:pPr>
    </w:p>
    <w:p>
      <w:pPr>
        <w:jc w:val="both"/>
        <w:pStyle w:val="Normal"/>
        <w:spacing w:line="240" w:lineRule="auto"/>
      </w:pPr>
      <w:r>
        <w:rPr>
          <w:sz w:val="24"/>
          <w:rFonts w:ascii="Times New Roman" w:hAnsi="Times New Roman"/>
        </w:rPr>
        <w:t>Naknada za ceste plaća se za prekomjerno korištenje prometnice na temelju zahtjeva prijevoznika, a u prvih devet mjeseci ove godine ostvarena je u iznosu od 79,63 eura dok prethodne godine u istom razdoblju bilo više potrebe za prijevozom tereta.</w:t>
      </w:r>
    </w:p>
    <w:p/>
    <w:p>
      <w:pPr>
        <w:jc w:val="center"/>
        <w:pStyle w:val="Normal"/>
        <w:spacing w:line="240" w:lineRule="auto"/>
        <w:keepNext/>
      </w:pPr>
      <w:r>
        <w:rPr>
          <w:sz w:val="28"/>
          <w:rFonts w:ascii="Times New Roman" w:hAnsi="Times New Roman"/>
        </w:rPr>
        <w:t>Bilješka 16.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nespomenuti prihodi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9.708,65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6.498,25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66,9</w:t>
            </w:r>
          </w:p>
        </w:tc>
      </w:tr>
    </w:tbl>
    <w:p>
      <w:pPr>
        <w:spacing w:before="0" w:after="0"/>
      </w:pPr>
    </w:p>
    <w:p>
      <w:pPr>
        <w:jc w:val="both"/>
        <w:pStyle w:val="Normal"/>
        <w:spacing w:line="240" w:lineRule="auto"/>
      </w:pPr>
      <w:r>
        <w:rPr>
          <w:sz w:val="24"/>
          <w:rFonts w:ascii="Times New Roman" w:hAnsi="Times New Roman"/>
        </w:rPr>
        <w:t>Razlika u ostvarenju prihoda od Ostalih nespomenutih prihoda u prvih devet mjeseci ove godine u odnosu na isto razdoblje prethodne godine odnosi se na naknadu štete koju je prethodne godine prouzročila fizička na nerazvrstanoj prometnici stoga je i ostvaren prihod  veći prethodne godine.</w:t>
      </w:r>
    </w:p>
    <w:p/>
    <w:p>
      <w:pPr>
        <w:jc w:val="center"/>
        <w:pStyle w:val="Normal"/>
        <w:spacing w:line="240" w:lineRule="auto"/>
        <w:keepNext/>
      </w:pPr>
      <w:r>
        <w:rPr>
          <w:sz w:val="28"/>
          <w:rFonts w:ascii="Times New Roman" w:hAnsi="Times New Roman"/>
        </w:rPr>
        <w:t>Bilješka 17.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6615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pruženih usluga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6615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6.609,85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570,00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8,6</w:t>
            </w:r>
          </w:p>
        </w:tc>
      </w:tr>
    </w:tbl>
    <w:p>
      <w:pPr>
        <w:spacing w:before="0" w:after="0"/>
      </w:pPr>
    </w:p>
    <w:p>
      <w:pPr>
        <w:jc w:val="both"/>
        <w:pStyle w:val="Normal"/>
        <w:spacing w:line="240" w:lineRule="auto"/>
      </w:pPr>
      <w:r>
        <w:rPr>
          <w:sz w:val="24"/>
          <w:rFonts w:ascii="Times New Roman" w:hAnsi="Times New Roman"/>
        </w:rPr>
        <w:t>Prihodi od pruženih usluga ostvaruju se na temelju zahtjeva stranaka, a prethodne godine Javna ustanova Natura viva angažirala je Vlastiti pogon Općine Kamanje za sanaciju oštećenja na geomorfološkom području spilje Vrlovke za što je Javnoj ustanovi ispostavljen račun te je ostvaren prihod dok u ovoj godini takvih prihoda nije bilo.</w:t>
      </w:r>
    </w:p>
    <w:p/>
    <w:p>
      <w:pPr>
        <w:jc w:val="center"/>
        <w:pStyle w:val="Normal"/>
        <w:spacing w:line="240" w:lineRule="auto"/>
        <w:keepNext/>
      </w:pPr>
      <w:r>
        <w:rPr>
          <w:sz w:val="28"/>
          <w:rFonts w:ascii="Times New Roman" w:hAnsi="Times New Roman"/>
        </w:rPr>
        <w:t>Bilješka 18.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Plaće (bruto) (šifre 3111 do 3114)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65.834,19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71.603,14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108,8</w:t>
            </w:r>
          </w:p>
        </w:tc>
      </w:tr>
    </w:tbl>
    <w:p>
      <w:pPr>
        <w:spacing w:before="0" w:after="0"/>
      </w:pPr>
    </w:p>
    <w:p>
      <w:pPr>
        <w:jc w:val="both"/>
        <w:pStyle w:val="Normal"/>
        <w:spacing w:line="240" w:lineRule="auto"/>
      </w:pPr>
      <w:r>
        <w:rPr>
          <w:sz w:val="24"/>
          <w:rFonts w:ascii="Times New Roman" w:hAnsi="Times New Roman"/>
        </w:rPr>
        <w:t>Krajem prethodne godine Općinsko vijeće usvojilo je Odluku o povećanju koeficijenata za obračun plaća što je rezultiralo blagim povećanjem rashoda za plaće u promatranom razdoblju</w:t>
      </w:r>
    </w:p>
    <w:p/>
    <w:p>
      <w:pPr>
        <w:jc w:val="center"/>
        <w:pStyle w:val="Normal"/>
        <w:spacing w:line="240" w:lineRule="auto"/>
        <w:keepNext/>
      </w:pPr>
      <w:r>
        <w:rPr>
          <w:sz w:val="28"/>
          <w:rFonts w:ascii="Times New Roman" w:hAnsi="Times New Roman"/>
        </w:rPr>
        <w:t>Bilješka 19.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Uredski materijal i ostali materijalni rashodi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342,35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650,49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190,0</w:t>
            </w:r>
          </w:p>
        </w:tc>
      </w:tr>
    </w:tbl>
    <w:p>
      <w:pPr>
        <w:spacing w:before="0" w:after="0"/>
      </w:pPr>
    </w:p>
    <w:p>
      <w:pPr>
        <w:jc w:val="both"/>
        <w:pStyle w:val="Normal"/>
        <w:spacing w:line="240" w:lineRule="auto"/>
      </w:pPr>
      <w:r>
        <w:rPr>
          <w:sz w:val="24"/>
          <w:rFonts w:ascii="Times New Roman" w:hAnsi="Times New Roman"/>
        </w:rPr>
        <w:t>Povećanje rashoda za uredski materijal u prvoj polovici ove godine u odnosu na prethodnu godinu odnosi se na nabavu materijala za održavanje lokalnih izbora za što nije bilo troška u prethodnoj godini.</w:t>
      </w:r>
    </w:p>
    <w:p/>
    <w:p>
      <w:pPr>
        <w:jc w:val="center"/>
        <w:pStyle w:val="Normal"/>
        <w:spacing w:line="240" w:lineRule="auto"/>
        <w:keepNext/>
      </w:pPr>
      <w:r>
        <w:rPr>
          <w:sz w:val="28"/>
          <w:rFonts w:ascii="Times New Roman" w:hAnsi="Times New Roman"/>
        </w:rPr>
        <w:t>Bilješka 20.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Sitni inventar i autogume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1.850,65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1.486,56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80,3</w:t>
            </w:r>
          </w:p>
        </w:tc>
      </w:tr>
    </w:tbl>
    <w:p>
      <w:pPr>
        <w:spacing w:before="0" w:after="0"/>
      </w:pPr>
    </w:p>
    <w:p>
      <w:pPr>
        <w:jc w:val="both"/>
        <w:pStyle w:val="Normal"/>
        <w:spacing w:line="240" w:lineRule="auto"/>
      </w:pPr>
      <w:r>
        <w:rPr>
          <w:sz w:val="24"/>
          <w:rFonts w:ascii="Times New Roman" w:hAnsi="Times New Roman"/>
        </w:rPr>
        <w:t>U prvoj prvih devet mjeseci prethodne godine nabavljano je više sitnog inventara za potrebe Vlastitog pogona (akumulatori, motorna pila, pumpa za vodu), a isto nije bilo potrebno nabavljati u ovoj godini stoga su i rashodi prethodne godine bili viši.</w:t>
      </w:r>
    </w:p>
    <w:p/>
    <w:p>
      <w:pPr>
        <w:jc w:val="center"/>
        <w:pStyle w:val="Normal"/>
        <w:spacing w:line="240" w:lineRule="auto"/>
        <w:keepNext/>
      </w:pPr>
      <w:r>
        <w:rPr>
          <w:sz w:val="28"/>
          <w:rFonts w:ascii="Times New Roman" w:hAnsi="Times New Roman"/>
        </w:rPr>
        <w:t>Bilješka 21.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Usluge telefona, interneta, pošte i prijevoza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3.002,52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2.668,48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88,9</w:t>
            </w:r>
          </w:p>
        </w:tc>
      </w:tr>
    </w:tbl>
    <w:p>
      <w:pPr>
        <w:spacing w:before="0" w:after="0"/>
      </w:pPr>
    </w:p>
    <w:p>
      <w:pPr>
        <w:jc w:val="both"/>
        <w:pStyle w:val="Normal"/>
        <w:spacing w:line="240" w:lineRule="auto"/>
      </w:pPr>
      <w:r>
        <w:rPr>
          <w:sz w:val="24"/>
          <w:rFonts w:ascii="Times New Roman" w:hAnsi="Times New Roman"/>
        </w:rPr>
        <w:t>Smanjenje troškova usluga telefona, interneta, pošte i prijevoza odnose se na značajno smanjenu potrošnju poštanskih usluga s obzirom da se komunikacija uglavnom obavlja digitalnim putem.</w:t>
      </w:r>
    </w:p>
    <w:p/>
    <w:p>
      <w:pPr>
        <w:jc w:val="center"/>
        <w:pStyle w:val="Normal"/>
        <w:spacing w:line="240" w:lineRule="auto"/>
        <w:keepNext/>
      </w:pPr>
      <w:r>
        <w:rPr>
          <w:sz w:val="28"/>
          <w:rFonts w:ascii="Times New Roman" w:hAnsi="Times New Roman"/>
        </w:rPr>
        <w:t>Bilješka 22.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Usluge tekućeg i investicijskog održavanja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8.279,93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19.803,91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239,2</w:t>
            </w:r>
          </w:p>
        </w:tc>
      </w:tr>
    </w:tbl>
    <w:p>
      <w:pPr>
        <w:spacing w:before="0" w:after="0"/>
      </w:pPr>
    </w:p>
    <w:p>
      <w:pPr>
        <w:jc w:val="both"/>
        <w:pStyle w:val="Normal"/>
        <w:spacing w:line="240" w:lineRule="auto"/>
      </w:pPr>
      <w:r>
        <w:rPr>
          <w:sz w:val="24"/>
          <w:rFonts w:ascii="Times New Roman" w:hAnsi="Times New Roman"/>
        </w:rPr>
        <w:t>Značajno povećanje rashoda za usluge tekućeg i investicijskog održavanja prvenstveno se odnosi na održavanje javne rasvjete s obzirom da je prošao vijek trajanja postojećih LED svjetiljki te je potreba za zamjenom i popravkom istih.</w:t>
      </w:r>
    </w:p>
    <w:p/>
    <w:p>
      <w:pPr>
        <w:jc w:val="center"/>
        <w:pStyle w:val="Normal"/>
        <w:spacing w:line="240" w:lineRule="auto"/>
        <w:keepNext/>
      </w:pPr>
      <w:r>
        <w:rPr>
          <w:sz w:val="28"/>
          <w:rFonts w:ascii="Times New Roman" w:hAnsi="Times New Roman"/>
        </w:rPr>
        <w:t>Bilješka 23.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Usluge promidžbe i informiranja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557,96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2.045,78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366,7</w:t>
            </w:r>
          </w:p>
        </w:tc>
      </w:tr>
    </w:tbl>
    <w:p>
      <w:pPr>
        <w:spacing w:before="0" w:after="0"/>
      </w:pPr>
    </w:p>
    <w:p>
      <w:pPr>
        <w:jc w:val="both"/>
        <w:pStyle w:val="Normal"/>
        <w:spacing w:line="240" w:lineRule="auto"/>
      </w:pPr>
      <w:r>
        <w:rPr>
          <w:sz w:val="24"/>
          <w:rFonts w:ascii="Times New Roman" w:hAnsi="Times New Roman"/>
        </w:rPr>
        <w:t>Općina Kamanje u prvoj polovici ove godine raspisivala je natječaj za zapošljavanje djelatnika te se značajno povećanje ove stavke odnosi na objavu natječaja u Narodnim novinama dok prethodne godine u istom razdoblju nije bilo takvih oglašavanja.</w:t>
      </w:r>
    </w:p>
    <w:p/>
    <w:p>
      <w:pPr>
        <w:jc w:val="center"/>
        <w:pStyle w:val="Normal"/>
        <w:spacing w:line="240" w:lineRule="auto"/>
        <w:keepNext/>
      </w:pPr>
      <w:r>
        <w:rPr>
          <w:sz w:val="28"/>
          <w:rFonts w:ascii="Times New Roman" w:hAnsi="Times New Roman"/>
        </w:rPr>
        <w:t>Bilješka 24.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Intelektualne i osobne usluge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17.833,45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28.699,21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160,9</w:t>
            </w:r>
          </w:p>
        </w:tc>
      </w:tr>
    </w:tbl>
    <w:p>
      <w:pPr>
        <w:spacing w:before="0" w:after="0"/>
      </w:pPr>
    </w:p>
    <w:p>
      <w:pPr>
        <w:jc w:val="both"/>
        <w:pStyle w:val="Normal"/>
        <w:spacing w:line="240" w:lineRule="auto"/>
      </w:pPr>
      <w:r>
        <w:rPr>
          <w:sz w:val="24"/>
          <w:rFonts w:ascii="Times New Roman" w:hAnsi="Times New Roman"/>
        </w:rPr>
        <w:t>Značajno povećanje rashoda za intelektualne i osobne usluge u razdoblju prvih devet mjeseci ove godine u odnosu na isto razdoblje prethodne godine odnosi se na izradu potrebne dokumentacije za projekat "Rekonstrukcija državne ceste DC228 i gradnja nogostupa".</w:t>
      </w:r>
    </w:p>
    <w:p/>
    <w:p>
      <w:pPr>
        <w:jc w:val="center"/>
        <w:pStyle w:val="Normal"/>
        <w:spacing w:line="240" w:lineRule="auto"/>
        <w:keepNext/>
      </w:pPr>
      <w:r>
        <w:rPr>
          <w:sz w:val="28"/>
          <w:rFonts w:ascii="Times New Roman" w:hAnsi="Times New Roman"/>
        </w:rPr>
        <w:t>Bilješka 25.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za rad predstavničkih i izvršnih tijela, povjerenstava i slično</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914,58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7.372,37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806,1</w:t>
            </w:r>
          </w:p>
        </w:tc>
      </w:tr>
    </w:tbl>
    <w:p>
      <w:pPr>
        <w:spacing w:before="0" w:after="0"/>
      </w:pPr>
    </w:p>
    <w:p>
      <w:pPr>
        <w:jc w:val="both"/>
        <w:pStyle w:val="Normal"/>
        <w:spacing w:line="240" w:lineRule="auto"/>
      </w:pPr>
      <w:r>
        <w:rPr>
          <w:sz w:val="24"/>
          <w:rFonts w:ascii="Times New Roman" w:hAnsi="Times New Roman"/>
        </w:rPr>
        <w:t>Značajno povećanje rashoda za naknade za rad predstavničkih i izvršnih tijela, povjerenstava i slično u odnosu na isto razdoblje prethodne godine odnosi se na naknade za izborno povjerenstvo za provedbu lokalnih izbora.  održanih u svibnju ove godine.</w:t>
      </w:r>
    </w:p>
    <w:p/>
    <w:p>
      <w:pPr>
        <w:jc w:val="center"/>
        <w:pStyle w:val="Normal"/>
        <w:spacing w:line="240" w:lineRule="auto"/>
        <w:keepNext/>
      </w:pPr>
      <w:r>
        <w:rPr>
          <w:sz w:val="28"/>
          <w:rFonts w:ascii="Times New Roman" w:hAnsi="Times New Roman"/>
        </w:rPr>
        <w:t>Bilješka 26.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3423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Kamate za primljene kredite i zajmove od kreditnih i ostalih financijskih institucija izvan javnog sektora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4.855,73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2.280,55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47,0</w:t>
            </w:r>
          </w:p>
        </w:tc>
      </w:tr>
    </w:tbl>
    <w:p>
      <w:pPr>
        <w:spacing w:before="0" w:after="0"/>
      </w:pPr>
    </w:p>
    <w:p>
      <w:pPr>
        <w:jc w:val="both"/>
        <w:pStyle w:val="Normal"/>
        <w:spacing w:line="240" w:lineRule="auto"/>
      </w:pPr>
      <w:r>
        <w:rPr>
          <w:sz w:val="24"/>
          <w:rFonts w:ascii="Times New Roman" w:hAnsi="Times New Roman"/>
        </w:rPr>
        <w:t>Otplatom glavnice kratkoročnog zaduženja smanjuje se i kamata na kredit stoga su rashodi za kamate u ovoj godini znatno niži nego prethodne godine.</w:t>
      </w:r>
    </w:p>
    <w:p/>
    <w:p>
      <w:pPr>
        <w:jc w:val="center"/>
        <w:pStyle w:val="Normal"/>
        <w:spacing w:line="240" w:lineRule="auto"/>
        <w:keepNext/>
      </w:pPr>
      <w:r>
        <w:rPr>
          <w:sz w:val="28"/>
          <w:rFonts w:ascii="Times New Roman" w:hAnsi="Times New Roman"/>
        </w:rPr>
        <w:t>Bilješka 27.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Bankarske usluge i usluge platnog prometa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3431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3.030,94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1.724,39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56,9</w:t>
            </w:r>
          </w:p>
        </w:tc>
      </w:tr>
    </w:tbl>
    <w:p>
      <w:pPr>
        <w:spacing w:before="0" w:after="0"/>
      </w:pPr>
    </w:p>
    <w:p>
      <w:pPr>
        <w:jc w:val="both"/>
        <w:pStyle w:val="Normal"/>
        <w:spacing w:line="240" w:lineRule="auto"/>
      </w:pPr>
      <w:r>
        <w:rPr>
          <w:sz w:val="24"/>
          <w:rFonts w:ascii="Times New Roman" w:hAnsi="Times New Roman"/>
        </w:rPr>
        <w:t>Znatno viši  rashodi za bankarske usluge u prošlogodišnjem izvještajnom razdoblju odnose se na naknade banci za odobrenje prekoračenja po žiro računu.</w:t>
      </w:r>
    </w:p>
    <w:p/>
    <w:p>
      <w:pPr>
        <w:jc w:val="center"/>
        <w:pStyle w:val="Normal"/>
        <w:spacing w:line="240" w:lineRule="auto"/>
        <w:keepNext/>
      </w:pPr>
      <w:r>
        <w:rPr>
          <w:sz w:val="28"/>
          <w:rFonts w:ascii="Times New Roman" w:hAnsi="Times New Roman"/>
        </w:rPr>
        <w:t>Bilješka 28.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pomoći drugom proračunu i izvanproračunskim korisnicima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3631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2.753,95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4.335,96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157,4</w:t>
            </w:r>
          </w:p>
        </w:tc>
      </w:tr>
    </w:tbl>
    <w:p>
      <w:pPr>
        <w:spacing w:before="0" w:after="0"/>
      </w:pPr>
    </w:p>
    <w:p>
      <w:pPr>
        <w:jc w:val="both"/>
        <w:pStyle w:val="Normal"/>
        <w:spacing w:line="240" w:lineRule="auto"/>
      </w:pPr>
      <w:r>
        <w:rPr>
          <w:sz w:val="24"/>
          <w:rFonts w:ascii="Times New Roman" w:hAnsi="Times New Roman"/>
        </w:rPr>
        <w:t>Povećanje rashoda za tekuće pomoći drugom proračunu i izvanproračunskim korisnicima odnosi se na sufinanciranje troškova lokalnih izbora Karlovačkoj županiji.</w:t>
      </w:r>
    </w:p>
    <w:p/>
    <w:p>
      <w:pPr>
        <w:jc w:val="center"/>
        <w:pStyle w:val="Normal"/>
        <w:spacing w:line="240" w:lineRule="auto"/>
        <w:keepNext/>
      </w:pPr>
      <w:r>
        <w:rPr>
          <w:sz w:val="28"/>
          <w:rFonts w:ascii="Times New Roman" w:hAnsi="Times New Roman"/>
        </w:rPr>
        <w:t>Bilješka 29.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3811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Tekuće donacije u novcu</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3811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16.395,11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30.955,23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188,8</w:t>
            </w:r>
          </w:p>
        </w:tc>
      </w:tr>
    </w:tbl>
    <w:p>
      <w:pPr>
        <w:spacing w:before="0" w:after="0"/>
      </w:pPr>
    </w:p>
    <w:p>
      <w:pPr>
        <w:jc w:val="both"/>
        <w:pStyle w:val="Normal"/>
        <w:spacing w:line="240" w:lineRule="auto"/>
      </w:pPr>
      <w:r>
        <w:rPr>
          <w:sz w:val="24"/>
          <w:rFonts w:ascii="Times New Roman" w:hAnsi="Times New Roman"/>
        </w:rPr>
        <w:t>Značajno povećanje rashoda za tekuće donacije odnosi se na promjene u proračunskom računovodstvu, odnosno tijekom ove godine Općina je zaduživala vrijednost dodijeljenog ugovora danom potpisa ugovora dok je prethodne godine zaduženje bilo u trenutku isplate sredstava udrugama.</w:t>
      </w:r>
    </w:p>
    <w:p/>
    <w:p>
      <w:pPr>
        <w:jc w:val="center"/>
        <w:pStyle w:val="Normal"/>
        <w:spacing w:line="240" w:lineRule="auto"/>
        <w:keepNext/>
      </w:pPr>
      <w:r>
        <w:rPr>
          <w:sz w:val="28"/>
          <w:rFonts w:ascii="Times New Roman" w:hAnsi="Times New Roman"/>
        </w:rPr>
        <w:t>Bilješka 30.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građevinski objekti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4214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19.673,75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Općina Kamanje je krajem 2024. godine provela projekat nadogradnje dijela javne rasvjete za što je račun ispostavljen i plaćen u ovoj godini.</w:t>
      </w:r>
    </w:p>
    <w:p/>
    <w:p>
      <w:pPr>
        <w:jc w:val="center"/>
        <w:pStyle w:val="Normal"/>
        <w:spacing w:line="240" w:lineRule="auto"/>
        <w:keepNext/>
      </w:pPr>
      <w:r>
        <w:rPr>
          <w:sz w:val="28"/>
          <w:rFonts w:ascii="Times New Roman" w:hAnsi="Times New Roman"/>
        </w:rPr>
        <w:t>Bilješka 31.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Uredska oprema i namještaj</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99,00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2.668,75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2695,7</w:t>
            </w:r>
          </w:p>
        </w:tc>
      </w:tr>
    </w:tbl>
    <w:p>
      <w:pPr>
        <w:spacing w:before="0" w:after="0"/>
      </w:pPr>
    </w:p>
    <w:p>
      <w:pPr>
        <w:jc w:val="both"/>
        <w:pStyle w:val="Normal"/>
        <w:spacing w:line="240" w:lineRule="auto"/>
      </w:pPr>
      <w:r>
        <w:rPr>
          <w:sz w:val="24"/>
          <w:rFonts w:ascii="Times New Roman" w:hAnsi="Times New Roman"/>
        </w:rPr>
        <w:t>Povećanje rashoda za uredsku opremu i namještaj odnosi se na nabavu računalna u prvoj polovici ove godine dok takvog troška nije bilo prethodne godine.</w:t>
      </w:r>
    </w:p>
    <w:p/>
    <w:p>
      <w:pPr>
        <w:jc w:val="center"/>
        <w:pStyle w:val="Normal"/>
        <w:spacing w:line="240" w:lineRule="auto"/>
        <w:keepNext/>
      </w:pPr>
      <w:r>
        <w:rPr>
          <w:sz w:val="28"/>
          <w:rFonts w:ascii="Times New Roman" w:hAnsi="Times New Roman"/>
        </w:rPr>
        <w:t>Bilješka 32.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Komunikacijska oprema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2.229,03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U prethodnoj godini Općina je nabavljala komunikacijsku opremu odnosno službene mobitele, a takvog troška u ovom izvještajnom razdoblju nije bilo.</w:t>
      </w:r>
    </w:p>
    <w:p/>
    <w:p>
      <w:pPr>
        <w:jc w:val="center"/>
        <w:pStyle w:val="Normal"/>
        <w:spacing w:line="240" w:lineRule="auto"/>
        <w:keepNext/>
      </w:pPr>
      <w:r>
        <w:rPr>
          <w:sz w:val="28"/>
          <w:rFonts w:ascii="Times New Roman" w:hAnsi="Times New Roman"/>
        </w:rPr>
        <w:t>Bilješka 33.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4263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Umjetnička, literarna i znanstvena djela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10.000,00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ovom izvještajnom razdoblju trošak od 10.000,00 eura odnosi se na izradu Urbanističkog plana uređenja groblja dok takvog rashoda u istom izvještajnom razdoblju prethodne godine nije bilo.</w:t>
      </w:r>
    </w:p>
    <w:p/>
    <w:p>
      <w:pPr>
        <w:jc w:val="center"/>
        <w:pStyle w:val="Normal"/>
        <w:spacing w:line="240" w:lineRule="auto"/>
        <w:keepNext/>
      </w:pPr>
      <w:r>
        <w:rPr>
          <w:sz w:val="28"/>
          <w:rFonts w:ascii="Times New Roman" w:hAnsi="Times New Roman"/>
        </w:rPr>
        <w:t>Bilješka 34.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8443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Primljeni krediti od tuzemnih kreditnih institucija izvan javnog sektora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8443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100.000,00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 prvom polugodištu ove godine Općini Kamanje odobreno je prekoračenje po žiro računu od strane Privredne banke Zagreb d.d. u iznosu od 100.000,00 eura.</w:t>
      </w:r>
    </w:p>
    <w:p/>
    <w:p>
      <w:pPr>
        <w:jc w:val="center"/>
        <w:pStyle w:val="Normal"/>
        <w:spacing w:line="240" w:lineRule="auto"/>
        <w:keepNext/>
      </w:pPr>
      <w:r>
        <w:rPr>
          <w:sz w:val="28"/>
          <w:rFonts w:ascii="Times New Roman" w:hAnsi="Times New Roman"/>
        </w:rPr>
        <w:t>Bilješka 35.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5443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Otplata glavnice primljenih kredita od tuzemnih kreditnih institucija izvan javnog sektora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5443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31.471,70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110.375,00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350,7</w:t>
            </w:r>
          </w:p>
        </w:tc>
      </w:tr>
    </w:tbl>
    <w:p>
      <w:pPr>
        <w:spacing w:before="0" w:after="0"/>
      </w:pPr>
    </w:p>
    <w:p>
      <w:pPr>
        <w:jc w:val="both"/>
        <w:pStyle w:val="Normal"/>
        <w:spacing w:line="240" w:lineRule="auto"/>
      </w:pPr>
      <w:r>
        <w:rPr>
          <w:sz w:val="24"/>
          <w:rFonts w:ascii="Times New Roman" w:hAnsi="Times New Roman"/>
        </w:rPr>
        <w:t>Općini Kamanje je prethodne godine odobreno kratkoročno zaduženje stoga su u ovoj godini rashodi za otplatu glavnice znatno viši nego prethodne godine.</w:t>
      </w:r>
    </w:p>
    <w:p/>
    <w:p>
      <w:pPr>
        <w:jc w:val="center"/>
        <w:pStyle w:val="Normal"/>
        <w:spacing w:line="240" w:lineRule="auto"/>
        <w:keepNext/>
      </w:pPr>
      <w:r>
        <w:rPr>
          <w:b/>
          <w:sz w:val="28"/>
          <w:rFonts w:ascii="Times New Roman" w:hAnsi="Times New Roman"/>
        </w:rPr>
        <w:t>Izvještaj o obvezama</w:t>
      </w:r>
    </w:p>
    <w:p>
      <w:pPr>
        <w:jc w:val="center"/>
        <w:pStyle w:val="Normal"/>
        <w:spacing w:line="240" w:lineRule="auto"/>
        <w:keepNext/>
      </w:pPr>
      <w:r>
        <w:rPr>
          <w:sz w:val="28"/>
          <w:rFonts w:ascii="Times New Roman" w:hAnsi="Times New Roman"/>
        </w:rPr>
        <w:t>Bilješka 36.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159.223,83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Unatoč ostvarenju viška prihoda i primitaka u iznosu od 28.541,35 EUR, prihodi su bili u nesrazmjeru za potpuno pokriće rashoda i dospjelih obveza, koje na kraju izvještajnog razdoblja iznose 159.223,83 EUR. Na navedeno je utjecalo povećanje rashoda uslijed realizacije tekućih projekata te podmirenja obveza iz prethodnog razdoblja, čije financiranje nije u cijelosti bilo moguće pokriti ostvarenim prihodima u tekućem razdoblju. Preostale dospjele obveze planira se podmiriti u narednom razdoblju iz redovitih proračunskih prihoda. 
</w:t>
      </w:r>
    </w:p>
    <w:p/>
  </w:body>
</w:document>
</file>

<file path=word/styles.xml><?xml version="1.0" encoding="utf-8"?>
<w:styles xmlns:w="http://schemas.openxmlformats.org/wordprocessingml/2006/main">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662aa9d4b646439f" /></Relationships>
</file>